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B5FE1" w14:textId="6F2F1187" w:rsidR="00C508F5" w:rsidRDefault="00000000">
      <w:pPr>
        <w:pStyle w:val="a4"/>
        <w:jc w:val="center"/>
        <w:rPr>
          <w:i/>
        </w:rPr>
      </w:pPr>
      <w:r>
        <w:rPr>
          <w:i/>
        </w:rPr>
        <w:t>(редакция на</w:t>
      </w:r>
      <w:r w:rsidR="0028362F" w:rsidRPr="0028362F">
        <w:rPr>
          <w:i/>
        </w:rPr>
        <w:t> 3 мая 2023 </w:t>
      </w:r>
      <w:r>
        <w:rPr>
          <w:i/>
        </w:rPr>
        <w:t>г.)</w:t>
      </w:r>
    </w:p>
    <w:p w14:paraId="47BA1135" w14:textId="77777777" w:rsidR="00C508F5" w:rsidRDefault="00000000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4832E942" w14:textId="77777777" w:rsidR="00C508F5" w:rsidRDefault="00000000">
      <w:pPr>
        <w:pStyle w:val="head"/>
      </w:pPr>
      <w:r>
        <w:rPr>
          <w:b/>
        </w:rPr>
        <w:t>ПРИКАЗ</w:t>
      </w:r>
    </w:p>
    <w:p w14:paraId="642B5BFF" w14:textId="77777777" w:rsidR="00C508F5" w:rsidRDefault="00000000">
      <w:pPr>
        <w:pStyle w:val="head"/>
      </w:pPr>
      <w:r>
        <w:rPr>
          <w:b/>
        </w:rPr>
        <w:t>от 14 октября 2013 г.</w:t>
      </w:r>
      <w:r>
        <w:br/>
      </w:r>
      <w:r>
        <w:rPr>
          <w:b/>
        </w:rPr>
        <w:t>№ 481</w:t>
      </w:r>
    </w:p>
    <w:p w14:paraId="6E75295D" w14:textId="77777777" w:rsidR="00C508F5" w:rsidRDefault="00000000">
      <w:pPr>
        <w:pStyle w:val="head"/>
      </w:pPr>
      <w:r>
        <w:rPr>
          <w:b/>
        </w:rPr>
        <w:t xml:space="preserve">Об утверждении фармакопейной статьи ФС 2826-003-13 «Раствор хлоргексидина </w:t>
      </w:r>
      <w:proofErr w:type="spellStart"/>
      <w:r>
        <w:rPr>
          <w:b/>
        </w:rPr>
        <w:t>биглюканат</w:t>
      </w:r>
      <w:proofErr w:type="spellEnd"/>
      <w:r>
        <w:rPr>
          <w:b/>
        </w:rPr>
        <w:t xml:space="preserve"> 0,05%»</w:t>
      </w:r>
    </w:p>
    <w:p w14:paraId="1FC0CBEC" w14:textId="77777777" w:rsidR="00C508F5" w:rsidRDefault="00000000">
      <w:pPr>
        <w:pStyle w:val="head"/>
      </w:pPr>
      <w:r>
        <w:t>САЗ (11.11.2013) № 13-44</w:t>
      </w:r>
    </w:p>
    <w:p w14:paraId="425BEF61" w14:textId="77777777" w:rsidR="00C508F5" w:rsidRDefault="00000000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rFonts w:ascii="Segoe UI" w:hAnsi="Segoe UI" w:cs="Segoe UI"/>
          <w:i/>
        </w:rPr>
        <w:t>ГУ "Центр по контролю за обращением медико-фармацевтической продукции"</w:t>
      </w:r>
    </w:p>
    <w:p w14:paraId="5BFB437D" w14:textId="77777777" w:rsidR="00C508F5" w:rsidRDefault="00000000">
      <w:pPr>
        <w:pStyle w:val="a4"/>
        <w:jc w:val="center"/>
      </w:pPr>
      <w:r>
        <w:t>Не нуждается в государственной регистрации</w:t>
      </w:r>
      <w:r>
        <w:br/>
        <w:t>в Министерстве юстиции Приднестровской Молдавской Республики</w:t>
      </w:r>
    </w:p>
    <w:p w14:paraId="5158F7CA" w14:textId="77777777" w:rsidR="00C508F5" w:rsidRDefault="00000000">
      <w:pPr>
        <w:ind w:firstLine="480"/>
        <w:jc w:val="both"/>
      </w:pPr>
      <w:r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> (САЗ 12-33), приказываю:</w:t>
      </w:r>
    </w:p>
    <w:p w14:paraId="5D26D101" w14:textId="77777777" w:rsidR="00C508F5" w:rsidRDefault="00000000">
      <w:pPr>
        <w:ind w:firstLine="480"/>
        <w:jc w:val="both"/>
      </w:pPr>
      <w:r>
        <w:rPr>
          <w:b/>
        </w:rPr>
        <w:t>1.</w:t>
      </w:r>
      <w:r>
        <w:t xml:space="preserve"> Утвердить фармакопейную статью ФС 2826-003-13 "Раствор хлоргексидина </w:t>
      </w:r>
      <w:proofErr w:type="spellStart"/>
      <w:r>
        <w:t>биглюканат</w:t>
      </w:r>
      <w:proofErr w:type="spellEnd"/>
      <w:r>
        <w:t xml:space="preserve"> 0,05%" (где 2826 - статистический номер Министерства здравоохранения Приднестровской Молдавской Республики, 003 - порядковый номер, 13 - год введения данной фармакопейной статьи) (Приложение).</w:t>
      </w:r>
    </w:p>
    <w:p w14:paraId="352CFE49" w14:textId="77777777" w:rsidR="00C508F5" w:rsidRDefault="00000000">
      <w:pPr>
        <w:ind w:firstLine="480"/>
        <w:jc w:val="both"/>
      </w:pPr>
      <w:r>
        <w:rPr>
          <w:b/>
        </w:rPr>
        <w:t>2.</w:t>
      </w:r>
      <w:r>
        <w:t xml:space="preserve"> Утвержденная фармакопейная статья не может быть полностью или частично воспроизведена, тиражирована и распространена в качестве национального издания без разрешения Министерства здравоохранения Приднестровской Молдавской Республики.</w:t>
      </w:r>
    </w:p>
    <w:p w14:paraId="1A241814" w14:textId="77777777" w:rsidR="00C508F5" w:rsidRDefault="00000000">
      <w:pPr>
        <w:ind w:firstLine="480"/>
        <w:jc w:val="both"/>
      </w:pPr>
      <w:r>
        <w:rPr>
          <w:b/>
        </w:rPr>
        <w:t>3.</w:t>
      </w:r>
      <w:r>
        <w:t xml:space="preserve"> Государственному учреждению "Центр по контролю за обращением медико-фармацевтической продукции" при проведении работ по сертификации и регистрации медико-фармацевтической продукции руководствоваться настоящим Приказом.</w:t>
      </w:r>
    </w:p>
    <w:p w14:paraId="75BC7DC5" w14:textId="77777777" w:rsidR="00C508F5" w:rsidRDefault="00000000">
      <w:pPr>
        <w:ind w:firstLine="480"/>
        <w:jc w:val="both"/>
      </w:pPr>
      <w:r>
        <w:rPr>
          <w:b/>
        </w:rPr>
        <w:t>4.</w:t>
      </w:r>
      <w:r>
        <w:t xml:space="preserve"> Считать утратившим силу </w:t>
      </w:r>
      <w:hyperlink r:id="rId19" w:tooltip="(УТРАТИЛ СИЛУ 11.11.2013) Об утверждении фармакопейной статьи фс 2826-001-05 &quot;Раствор хлоргексидина биглюконат 0,05%&quot;" w:history="1">
        <w:r>
          <w:rPr>
            <w:rStyle w:val="a3"/>
          </w:rPr>
          <w:t xml:space="preserve">Приказ Министерства здравоохранения и социальной защиты Приднестровской Молдавской Республики от 19 мая 2005 года № 234 "Об утверждении фармакопейной статьи ФC 2826-001-05 "Раствор хлоргексидина </w:t>
        </w:r>
        <w:proofErr w:type="spellStart"/>
        <w:r>
          <w:rPr>
            <w:rStyle w:val="a3"/>
          </w:rPr>
          <w:t>биглюканат</w:t>
        </w:r>
        <w:proofErr w:type="spellEnd"/>
        <w:r>
          <w:rPr>
            <w:rStyle w:val="a3"/>
          </w:rPr>
          <w:t xml:space="preserve"> 0,05%"</w:t>
        </w:r>
      </w:hyperlink>
      <w:r>
        <w:t xml:space="preserve"> (регистрационный № 3231 от 7 июня 2005 года) (САЗ 05-24), с изменением, внесенным </w:t>
      </w:r>
      <w:hyperlink r:id="rId20" w:tooltip="(УТРАТИЛ СИЛУ 11.11.2013) О внесении изменения в Приказ Министерства здравоохранения и социальной защиты Приднестровской Молдавской Республики от 19 мая 2005 года № 234 &quot;Об утверждении фармакопейной статьи фс 2826-001-05 &quot;Раствор хлоргексидина биглюконат 0,05 %&quot; (регистрационный № 3231 от 7 июня 2005 г.) (САЗ 05-24)" w:history="1">
        <w:r>
          <w:rPr>
            <w:rStyle w:val="a3"/>
          </w:rPr>
          <w:t>Приказом от 18 января 2007 года № 28</w:t>
        </w:r>
      </w:hyperlink>
      <w:r>
        <w:t> (регистрационный № 3824 от 13 февраля 2007 года) (САЗ 07-8).</w:t>
      </w:r>
    </w:p>
    <w:p w14:paraId="5B31EBD8" w14:textId="77777777" w:rsidR="00C508F5" w:rsidRDefault="00000000">
      <w:pPr>
        <w:ind w:firstLine="480"/>
        <w:jc w:val="both"/>
      </w:pPr>
      <w:r>
        <w:rPr>
          <w:b/>
        </w:rPr>
        <w:t>5.</w:t>
      </w:r>
      <w:r>
        <w:t xml:space="preserve"> Настоящий Приказ вступает в силу со дня официального опубликования.</w:t>
      </w:r>
    </w:p>
    <w:p w14:paraId="2531B249" w14:textId="77777777" w:rsidR="00C508F5" w:rsidRDefault="00000000">
      <w:pPr>
        <w:pStyle w:val="a4"/>
      </w:pPr>
      <w:proofErr w:type="spellStart"/>
      <w:r>
        <w:rPr>
          <w:b/>
        </w:rPr>
        <w:lastRenderedPageBreak/>
        <w:t>Вр</w:t>
      </w:r>
      <w:proofErr w:type="spellEnd"/>
      <w:r>
        <w:rPr>
          <w:b/>
        </w:rPr>
        <w:t xml:space="preserve">. и. о. Министра Т. </w:t>
      </w:r>
      <w:proofErr w:type="spellStart"/>
      <w:r>
        <w:rPr>
          <w:b/>
        </w:rPr>
        <w:t>Скрыпник</w:t>
      </w:r>
      <w:proofErr w:type="spellEnd"/>
    </w:p>
    <w:p w14:paraId="7E9154CF" w14:textId="77777777" w:rsidR="00C508F5" w:rsidRDefault="00000000">
      <w:pPr>
        <w:pStyle w:val="a4"/>
      </w:pPr>
      <w:r>
        <w:t>г. Тирасполь</w:t>
      </w:r>
      <w:r>
        <w:br/>
        <w:t>14 октября 2013 г.</w:t>
      </w:r>
      <w:r>
        <w:br/>
        <w:t>№ 481</w:t>
      </w:r>
    </w:p>
    <w:p w14:paraId="286F958B" w14:textId="77777777" w:rsidR="00C508F5" w:rsidRDefault="00000000">
      <w:pPr>
        <w:pStyle w:val="a4"/>
        <w:jc w:val="right"/>
      </w:pPr>
      <w:r>
        <w:t>Приложение к Приказу</w:t>
      </w:r>
      <w:r>
        <w:br/>
        <w:t>Министерства здравоохранения</w:t>
      </w:r>
      <w:r>
        <w:br/>
        <w:t>Приднестровской Молдавской Республики</w:t>
      </w:r>
      <w:r>
        <w:br/>
        <w:t>от 14 октября 2013 года № 481</w:t>
      </w:r>
    </w:p>
    <w:p w14:paraId="5BC8B136" w14:textId="77777777" w:rsidR="00C508F5" w:rsidRDefault="00000000">
      <w:pPr>
        <w:pStyle w:val="a4"/>
        <w:jc w:val="center"/>
      </w:pPr>
      <w:r>
        <w:t>Министерство здравоохранения</w:t>
      </w:r>
      <w:r>
        <w:br/>
        <w:t>Приднестровской Молдавской Республики</w:t>
      </w:r>
    </w:p>
    <w:p w14:paraId="3D435BE7" w14:textId="77777777" w:rsidR="00C508F5" w:rsidRDefault="00000000">
      <w:pPr>
        <w:pStyle w:val="a4"/>
        <w:jc w:val="right"/>
      </w:pPr>
      <w:r>
        <w:t>"Утверждаю"</w:t>
      </w:r>
      <w:r>
        <w:br/>
        <w:t>Министр здравоохранения ПМР</w:t>
      </w:r>
      <w:r>
        <w:br/>
        <w:t>___________________________</w:t>
      </w:r>
      <w:r>
        <w:br/>
        <w:t>_____________________ 2018 г.</w:t>
      </w:r>
    </w:p>
    <w:p w14:paraId="5C298D59" w14:textId="77777777" w:rsidR="00C508F5" w:rsidRDefault="00000000">
      <w:pPr>
        <w:pStyle w:val="a4"/>
        <w:jc w:val="center"/>
      </w:pPr>
      <w:r>
        <w:t>Фармакопейная статья</w:t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554"/>
        <w:gridCol w:w="3942"/>
      </w:tblGrid>
      <w:tr w:rsidR="00C508F5" w14:paraId="6065FF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86C5" w14:textId="77777777" w:rsidR="00C508F5" w:rsidRDefault="00000000">
            <w:pPr>
              <w:pStyle w:val="a4"/>
              <w:jc w:val="both"/>
            </w:pPr>
            <w:proofErr w:type="spellStart"/>
            <w:r>
              <w:t>Solutio</w:t>
            </w:r>
            <w:proofErr w:type="spellEnd"/>
            <w:r>
              <w:t xml:space="preserve"> </w:t>
            </w:r>
            <w:proofErr w:type="spellStart"/>
            <w:r>
              <w:t>Chlorgexidini</w:t>
            </w:r>
            <w:proofErr w:type="spellEnd"/>
            <w:r>
              <w:t xml:space="preserve"> </w:t>
            </w:r>
            <w:proofErr w:type="spellStart"/>
            <w:r>
              <w:t>bigluconat</w:t>
            </w:r>
            <w:proofErr w:type="spellEnd"/>
            <w:r>
              <w:t xml:space="preserve"> 0,05%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FB93" w14:textId="77777777" w:rsidR="00C508F5" w:rsidRDefault="00000000">
            <w:pPr>
              <w:pStyle w:val="a4"/>
              <w:jc w:val="both"/>
            </w:pPr>
            <w:r>
              <w:t>ФС № 2826-003-13</w:t>
            </w:r>
          </w:p>
        </w:tc>
      </w:tr>
      <w:tr w:rsidR="00C508F5" w14:paraId="534ADE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698D" w14:textId="77777777" w:rsidR="00C508F5" w:rsidRDefault="00000000">
            <w:pPr>
              <w:pStyle w:val="a4"/>
              <w:jc w:val="both"/>
            </w:pPr>
            <w:r>
              <w:t xml:space="preserve">Раствор хлоргексидина </w:t>
            </w:r>
            <w:proofErr w:type="spellStart"/>
            <w:r>
              <w:t>биглюканат</w:t>
            </w:r>
            <w:proofErr w:type="spellEnd"/>
            <w:r>
              <w:t xml:space="preserve"> 0,05%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2E5F" w14:textId="77777777" w:rsidR="00C508F5" w:rsidRDefault="00000000">
            <w:pPr>
              <w:pStyle w:val="a4"/>
              <w:jc w:val="both"/>
            </w:pPr>
            <w:r>
              <w:t>Вводится взамен ФС № 2826-003-13</w:t>
            </w:r>
          </w:p>
        </w:tc>
      </w:tr>
    </w:tbl>
    <w:p w14:paraId="7A518AA0" w14:textId="77777777" w:rsidR="00C508F5" w:rsidRDefault="00000000">
      <w:pPr>
        <w:ind w:firstLine="480"/>
        <w:jc w:val="both"/>
      </w:pPr>
      <w:r>
        <w:t>Срок действия установлен</w:t>
      </w:r>
    </w:p>
    <w:p w14:paraId="25401283" w14:textId="77777777" w:rsidR="00C508F5" w:rsidRDefault="00000000">
      <w:pPr>
        <w:ind w:firstLine="480"/>
        <w:jc w:val="both"/>
      </w:pPr>
      <w:r>
        <w:t>с "____" ___________201__ год</w:t>
      </w:r>
    </w:p>
    <w:p w14:paraId="26130522" w14:textId="77777777" w:rsidR="00C508F5" w:rsidRDefault="00000000">
      <w:pPr>
        <w:ind w:firstLine="480"/>
        <w:jc w:val="both"/>
      </w:pPr>
      <w:r>
        <w:t>по "____" ___________201__год</w:t>
      </w:r>
    </w:p>
    <w:p w14:paraId="42B89F26" w14:textId="77777777" w:rsidR="00C508F5" w:rsidRDefault="00000000">
      <w:pPr>
        <w:ind w:firstLine="480"/>
        <w:jc w:val="both"/>
      </w:pPr>
      <w:r>
        <w:t>Настоящая фармакопейная статья распространяется на</w:t>
      </w:r>
    </w:p>
    <w:p w14:paraId="3FBE5EAE" w14:textId="77777777" w:rsidR="00C508F5" w:rsidRDefault="00000000">
      <w:pPr>
        <w:ind w:firstLine="480"/>
        <w:jc w:val="both"/>
      </w:pPr>
      <w:r>
        <w:t xml:space="preserve">Хлоргексидина </w:t>
      </w:r>
      <w:proofErr w:type="spellStart"/>
      <w:r>
        <w:t>биглюконат</w:t>
      </w:r>
      <w:proofErr w:type="spellEnd"/>
      <w:r>
        <w:t xml:space="preserve"> раствор для наружного применения 0,05%, применяемый в качестве лекарственного средства.</w:t>
      </w:r>
    </w:p>
    <w:p w14:paraId="7AB6C524" w14:textId="77777777" w:rsidR="00DA0404" w:rsidRDefault="00DA0404" w:rsidP="00DA0404">
      <w:pPr>
        <w:ind w:firstLine="480"/>
        <w:jc w:val="both"/>
      </w:pPr>
      <w:r>
        <w:t xml:space="preserve">СОСТАВ. Раствора </w:t>
      </w:r>
      <w:proofErr w:type="spellStart"/>
      <w:r>
        <w:t>хлоргексидинабиглюконата</w:t>
      </w:r>
      <w:proofErr w:type="spellEnd"/>
      <w:r>
        <w:t xml:space="preserve"> 20% (ВФС 42-1401-84) 2,5 мл</w:t>
      </w:r>
    </w:p>
    <w:p w14:paraId="02BEADCA" w14:textId="713A0884" w:rsidR="00DA0404" w:rsidRDefault="00DA0404" w:rsidP="00DA0404">
      <w:pPr>
        <w:ind w:firstLine="480"/>
        <w:jc w:val="both"/>
      </w:pPr>
      <w:r>
        <w:t>Воды очищенной (ГФ ПМР XIV изд., том III, ч. 1: ФС. 2.2.0020.18) до 1000 мл.</w:t>
      </w:r>
    </w:p>
    <w:p w14:paraId="72D662FA" w14:textId="77777777" w:rsidR="00C508F5" w:rsidRDefault="00000000">
      <w:pPr>
        <w:ind w:firstLine="480"/>
        <w:jc w:val="both"/>
      </w:pPr>
      <w:r>
        <w:t>ОПИСАНИЕ. Бесцветная прозрачная или слегка опалесцирующая жидкость без запаха.</w:t>
      </w:r>
    </w:p>
    <w:p w14:paraId="25A0014A" w14:textId="5558A39E" w:rsidR="00C508F5" w:rsidRDefault="00000000">
      <w:pPr>
        <w:ind w:firstLine="480"/>
        <w:jc w:val="both"/>
      </w:pPr>
      <w:r>
        <w:t>ПОДЛИННОСТЬ. Ультрафиолетовый спектр поглощения раствора, приготовленного для количественного определения, в области от 220 до 320 нм должен иметь максимум при (231 ± 2) нм и (253 ± 2)</w:t>
      </w:r>
      <w:r w:rsidR="00DA0404">
        <w:t xml:space="preserve"> </w:t>
      </w:r>
      <w:r>
        <w:t>нм и минимум при (242 ± 2) нм</w:t>
      </w:r>
    </w:p>
    <w:p w14:paraId="065E4017" w14:textId="7855DC21" w:rsidR="00C508F5" w:rsidRDefault="00000000">
      <w:pPr>
        <w:ind w:firstLine="480"/>
        <w:jc w:val="both"/>
      </w:pPr>
      <w:r>
        <w:t>К 10 мл препарата прибавляют 0,5мл раствора меди сульфата; появляется светло-голубое окрашивание. После нагревания реакционной смеси на кипящей бане в течение 10</w:t>
      </w:r>
      <w:r w:rsidR="00FC61C1">
        <w:t xml:space="preserve"> </w:t>
      </w:r>
      <w:r>
        <w:t xml:space="preserve">минут в верхней части пробирки образуется светло- сиреневый хлопьевидный </w:t>
      </w:r>
      <w:r w:rsidR="00FC61C1">
        <w:t>осадок (хлоргексидин</w:t>
      </w:r>
      <w:r>
        <w:t>)</w:t>
      </w:r>
    </w:p>
    <w:p w14:paraId="68CD5B6A" w14:textId="77777777" w:rsidR="00C508F5" w:rsidRDefault="00000000">
      <w:pPr>
        <w:ind w:firstLine="480"/>
        <w:jc w:val="both"/>
      </w:pPr>
      <w:r>
        <w:t xml:space="preserve">К 10 мл препарата прибавляют 3 мл раствора железа окисного хлорида и нагревают до кипения; раствор из светло-желтого становится темно-оранжевым, а после прибавления 1 мл кислоты хлористоводородной концентрированной - желтым (кислота </w:t>
      </w:r>
      <w:proofErr w:type="spellStart"/>
      <w:r>
        <w:t>глюконовая</w:t>
      </w:r>
      <w:proofErr w:type="spellEnd"/>
      <w:r>
        <w:t>)</w:t>
      </w:r>
    </w:p>
    <w:p w14:paraId="17495D1D" w14:textId="7C755D38" w:rsidR="00DA0404" w:rsidRDefault="00000000" w:rsidP="00DA0404">
      <w:pPr>
        <w:ind w:firstLine="480"/>
        <w:jc w:val="both"/>
      </w:pPr>
      <w:r>
        <w:t xml:space="preserve">ПРОЗРАЧНОСТЬ. </w:t>
      </w:r>
      <w:r w:rsidR="00DA0404">
        <w:t>Препарат должен быть прозрачным или выдерживать сравнение с эталонным раствором I (ОФС «Прозрачность и степень мутности жидкостей»).</w:t>
      </w:r>
    </w:p>
    <w:p w14:paraId="67EDD6B7" w14:textId="77777777" w:rsidR="00DA0404" w:rsidRDefault="00DA0404" w:rsidP="00DA0404">
      <w:pPr>
        <w:ind w:firstLine="480"/>
        <w:jc w:val="both"/>
      </w:pPr>
      <w:r>
        <w:t>pH. от 5,5 до 7, 0 (ОФС «</w:t>
      </w:r>
      <w:proofErr w:type="spellStart"/>
      <w:r>
        <w:t>Ионометрия</w:t>
      </w:r>
      <w:proofErr w:type="spellEnd"/>
      <w:r>
        <w:t>»)</w:t>
      </w:r>
      <w:r>
        <w:t xml:space="preserve"> </w:t>
      </w:r>
    </w:p>
    <w:p w14:paraId="79DE1493" w14:textId="49AC3A80" w:rsidR="00C508F5" w:rsidRDefault="00FC61C1" w:rsidP="00FC61C1">
      <w:pPr>
        <w:ind w:firstLine="480"/>
        <w:jc w:val="both"/>
      </w:pPr>
      <w:r w:rsidRPr="00FC61C1">
        <w:t>КОЛИЧЕСТВЕННОЕ ОПРЕДЕЛЕНИЕ. Содержание C22P30CI2N10*2C6H12O7 (</w:t>
      </w:r>
      <w:proofErr w:type="spellStart"/>
      <w:r w:rsidRPr="00FC61C1">
        <w:t>Хлоргексидинабиглюконата</w:t>
      </w:r>
      <w:proofErr w:type="spellEnd"/>
      <w:r w:rsidRPr="00FC61C1">
        <w:t>) в 1 мл препарата должно быть от 0,00045 до 0,000555 г.</w:t>
      </w:r>
      <w:r w:rsidRPr="00FC61C1">
        <w:t xml:space="preserve"> </w:t>
      </w:r>
    </w:p>
    <w:p w14:paraId="57C8344D" w14:textId="77777777" w:rsidR="00C508F5" w:rsidRDefault="00000000">
      <w:pPr>
        <w:ind w:firstLine="480"/>
        <w:jc w:val="both"/>
      </w:pPr>
      <w:r>
        <w:t>Измеряют оптическую плотность полученного раствора на спектрофотометре в максимуме поглощения при длине волны 253 нм в кювете с толщиной слоя 10мм.</w:t>
      </w:r>
    </w:p>
    <w:p w14:paraId="368B5334" w14:textId="77777777" w:rsidR="00C508F5" w:rsidRDefault="00000000">
      <w:pPr>
        <w:ind w:firstLine="480"/>
        <w:jc w:val="both"/>
      </w:pPr>
      <w:r>
        <w:t>В качестве раствора сравнения используют воду очищенную.</w:t>
      </w:r>
    </w:p>
    <w:p w14:paraId="1A03B494" w14:textId="77777777" w:rsidR="00C508F5" w:rsidRDefault="00000000">
      <w:pPr>
        <w:ind w:firstLine="480"/>
        <w:jc w:val="both"/>
      </w:pPr>
      <w:r>
        <w:lastRenderedPageBreak/>
        <w:t xml:space="preserve">Содержание хлоргексидина </w:t>
      </w:r>
      <w:proofErr w:type="spellStart"/>
      <w:r>
        <w:t>биглюконата</w:t>
      </w:r>
      <w:proofErr w:type="spellEnd"/>
      <w:r>
        <w:t xml:space="preserve"> в 1 мл препарата в граммах (Х) вычисляют по формуле:</w:t>
      </w:r>
    </w:p>
    <w:p w14:paraId="1B335E92" w14:textId="77777777" w:rsidR="00C508F5" w:rsidRDefault="00000000">
      <w:pPr>
        <w:ind w:firstLine="480"/>
        <w:jc w:val="both"/>
      </w:pPr>
      <w:r>
        <w:t>D*100 D</w:t>
      </w:r>
    </w:p>
    <w:p w14:paraId="1CBFC17C" w14:textId="77777777" w:rsidR="00C508F5" w:rsidRDefault="00000000">
      <w:pPr>
        <w:ind w:firstLine="480"/>
        <w:jc w:val="both"/>
      </w:pPr>
      <w:r>
        <w:t>X = -------------- = ----</w:t>
      </w:r>
    </w:p>
    <w:p w14:paraId="036E7F9A" w14:textId="77777777" w:rsidR="00C508F5" w:rsidRDefault="00000000">
      <w:pPr>
        <w:ind w:firstLine="480"/>
        <w:jc w:val="both"/>
      </w:pPr>
      <w:r>
        <w:t>330*2*100 660</w:t>
      </w:r>
    </w:p>
    <w:p w14:paraId="4121EA59" w14:textId="77777777" w:rsidR="00C508F5" w:rsidRDefault="00000000">
      <w:pPr>
        <w:ind w:firstLine="480"/>
        <w:jc w:val="both"/>
      </w:pPr>
      <w:r>
        <w:t>где D - оптическая плотность испытуемого раствора;</w:t>
      </w:r>
    </w:p>
    <w:p w14:paraId="4D282309" w14:textId="77777777" w:rsidR="00C508F5" w:rsidRDefault="00000000">
      <w:pPr>
        <w:ind w:firstLine="480"/>
        <w:jc w:val="both"/>
      </w:pPr>
      <w:r>
        <w:t xml:space="preserve">330 - удельный показатель поглощения хлоргексидина </w:t>
      </w:r>
      <w:proofErr w:type="spellStart"/>
      <w:r>
        <w:t>биглюконата</w:t>
      </w:r>
      <w:proofErr w:type="spellEnd"/>
      <w:r>
        <w:t xml:space="preserve"> при длине волны 253 нм.</w:t>
      </w:r>
    </w:p>
    <w:p w14:paraId="17D4EDC8" w14:textId="77777777" w:rsidR="00C508F5" w:rsidRDefault="00000000">
      <w:pPr>
        <w:ind w:firstLine="480"/>
        <w:jc w:val="both"/>
      </w:pPr>
      <w:r>
        <w:t xml:space="preserve">Содержание C22H30CI2N10 2C6H12O7 (хлоргексидина </w:t>
      </w:r>
      <w:proofErr w:type="spellStart"/>
      <w:r>
        <w:t>биглюконата</w:t>
      </w:r>
      <w:proofErr w:type="spellEnd"/>
      <w:r>
        <w:t>) в 1 мл препарата должно быть от 0,00045 до 0,00055г.</w:t>
      </w:r>
    </w:p>
    <w:p w14:paraId="5EB2DF81" w14:textId="7C0C0A83" w:rsidR="00C508F5" w:rsidRDefault="004B5411">
      <w:pPr>
        <w:ind w:firstLine="480"/>
        <w:jc w:val="both"/>
      </w:pPr>
      <w:r w:rsidRPr="004B5411">
        <w:t>ОБЪЕМ СОДЕРЖИМОГО УПАКОВКИ.</w:t>
      </w:r>
      <w:r w:rsidRPr="004B5411">
        <w:t xml:space="preserve"> </w:t>
      </w:r>
      <w:r w:rsidR="00000000">
        <w:t xml:space="preserve">Препарат должен соответствовать требованиям </w:t>
      </w:r>
      <w:hyperlink r:id="rId21" w:tooltip="(ВСТУПИЛ В СИЛУ 14.01.2009) Об утверждении Инструкции на допустимые отклонения при промышленном фасовании лекарственных средств" w:history="1">
        <w:r w:rsidR="00000000">
          <w:rPr>
            <w:rStyle w:val="a3"/>
          </w:rPr>
          <w:t>Приказа Министерства здравоохранения и социальной защиты Приднестровской Молдавской Республики от 14 января 2009 года № 14 "Об утверждении Инструкции на допустимые отклонения при промышленном фасовании лекарственных средств"</w:t>
        </w:r>
      </w:hyperlink>
      <w:r w:rsidR="00000000">
        <w:t> (САЗ 09-11).</w:t>
      </w:r>
    </w:p>
    <w:p w14:paraId="0F354D81" w14:textId="77777777" w:rsidR="00C508F5" w:rsidRDefault="00000000">
      <w:pPr>
        <w:ind w:firstLine="480"/>
        <w:jc w:val="both"/>
      </w:pPr>
      <w:r>
        <w:t>УПАКОВКА. 1. Первичная упаковка. По 100 мл во флаконах из стекломассы или флаконы из полимерных материалов с насадкой и колпачком или с насадкой распылителем. Флаконы из стекломассы закрываются полиэтиленовыми пробками и завинчиваются пластмассовыми или полимерными крышками.</w:t>
      </w:r>
    </w:p>
    <w:p w14:paraId="0AEB0816" w14:textId="77777777" w:rsidR="00C508F5" w:rsidRDefault="00000000">
      <w:pPr>
        <w:ind w:firstLine="480"/>
        <w:jc w:val="both"/>
      </w:pPr>
      <w:r>
        <w:t>2. Во флаконах по 50 мл, 100 мл, 250 мл, 500 мл, или бутылки по 1000 мл или 5000 мл из полиэтилентерефталата (ПЭТФ) закрывающиеся пробками с контролем вскрытия.</w:t>
      </w:r>
    </w:p>
    <w:p w14:paraId="75A1ECA3" w14:textId="77777777" w:rsidR="00C508F5" w:rsidRDefault="00000000">
      <w:pPr>
        <w:ind w:firstLine="480"/>
        <w:jc w:val="both"/>
      </w:pPr>
      <w:r>
        <w:t>2. По 1000 мл в бутылки из полиэтилентерефталата (ПЭТФ) темного цвета, закрывающиеся пробками с контролем вскрытия.</w:t>
      </w:r>
    </w:p>
    <w:p w14:paraId="60000F57" w14:textId="77777777" w:rsidR="00C508F5" w:rsidRDefault="00000000">
      <w:pPr>
        <w:ind w:firstLine="480"/>
        <w:jc w:val="both"/>
      </w:pPr>
      <w:r>
        <w:t xml:space="preserve">На каждый флакон наклеивается этикетка, изготовленная из бумаги для этикеток или </w:t>
      </w:r>
      <w:proofErr w:type="spellStart"/>
      <w:r>
        <w:t>самоклеющаяся</w:t>
      </w:r>
      <w:proofErr w:type="spellEnd"/>
      <w:r>
        <w:t xml:space="preserve"> этикетка.</w:t>
      </w:r>
    </w:p>
    <w:p w14:paraId="7D596C9F" w14:textId="77777777" w:rsidR="00C508F5" w:rsidRDefault="00000000">
      <w:pPr>
        <w:ind w:firstLine="480"/>
        <w:jc w:val="both"/>
      </w:pPr>
      <w:r>
        <w:t>Вторичная упаковка. По одному флакону вместе с инструкцией, помещают в пачку картонную согласно ГОСТ 7933-89 или из картона хром-эрзац.</w:t>
      </w:r>
    </w:p>
    <w:p w14:paraId="6AA8FECE" w14:textId="77777777" w:rsidR="00C508F5" w:rsidRDefault="00000000">
      <w:pPr>
        <w:ind w:firstLine="480"/>
        <w:jc w:val="both"/>
      </w:pPr>
      <w:r>
        <w:t>Разрешается упаковка флаконов в групповую упаковку, без индивидуальной пачки.</w:t>
      </w:r>
    </w:p>
    <w:p w14:paraId="7044062A" w14:textId="77777777" w:rsidR="00C508F5" w:rsidRDefault="00000000">
      <w:pPr>
        <w:ind w:firstLine="480"/>
        <w:jc w:val="both"/>
      </w:pPr>
      <w:r>
        <w:t>Групповая упаковка. Флаконы вместе с инструкциями по применению помещают в картонных коробках согласно ГОСТ 7933-89.</w:t>
      </w:r>
    </w:p>
    <w:p w14:paraId="7CAD7795" w14:textId="77777777" w:rsidR="00C508F5" w:rsidRDefault="00000000">
      <w:pPr>
        <w:ind w:firstLine="480"/>
        <w:jc w:val="both"/>
      </w:pPr>
      <w:r>
        <w:t>Групповая упаковка для транспортировки, согласно ГОСТ 17768-90 МАРКИРОВКА.</w:t>
      </w:r>
    </w:p>
    <w:p w14:paraId="25D198ED" w14:textId="77777777" w:rsidR="00C508F5" w:rsidRDefault="00000000">
      <w:pPr>
        <w:ind w:firstLine="480"/>
        <w:jc w:val="both"/>
      </w:pPr>
      <w:r>
        <w:t xml:space="preserve">Соответствует требованиям </w:t>
      </w:r>
      <w:hyperlink r:id="rId22" w:tooltip="(ВСТУПИЛ В СИЛУ 30.09.2008) Об утверждении Инструкции по графическому оформлению лекарственных средств, производимых на территории Приднестровской Молдавской Республики" w:history="1">
        <w:r>
          <w:rPr>
            <w:rStyle w:val="a3"/>
          </w:rPr>
          <w:t>Приказа Министерства здравоохранения и социальной защиты Приднестровской Молдавской Республики от 30 сентября 2008 года № 482 "Об утверждении Инструкции по графическому оформлению лекарственных средств, производимых на территории Приднестровской Молдавской Республики"</w:t>
        </w:r>
      </w:hyperlink>
      <w:r>
        <w:t> (регистрационный № 4614 от 10 ноября 2008 года) (САЗ 08-45).</w:t>
      </w:r>
    </w:p>
    <w:p w14:paraId="74E47112" w14:textId="77777777" w:rsidR="00C508F5" w:rsidRDefault="00000000">
      <w:pPr>
        <w:ind w:firstLine="480"/>
        <w:jc w:val="both"/>
      </w:pPr>
      <w:r>
        <w:t>Этикетка содержит следующую информацию: Наименование производителя, товарный знак, страна и адрес производителя, название препарата на русском языке, название препарата на латинском языке, объем в миллилитрах, надпись "Беречь от детей", надпись "Наружное", условия хранения, регистрационный номер, серия, срок годности.</w:t>
      </w:r>
    </w:p>
    <w:p w14:paraId="7AD2A97C" w14:textId="77777777" w:rsidR="00C508F5" w:rsidRDefault="00000000">
      <w:pPr>
        <w:ind w:firstLine="480"/>
        <w:jc w:val="both"/>
      </w:pPr>
      <w:r>
        <w:t>ТРАНСПОРТИРОВКА. Транспортировка производится закрытыми транспортными средствами согласно ГОСТ 17768-90.</w:t>
      </w:r>
    </w:p>
    <w:p w14:paraId="7EBCF440" w14:textId="77777777" w:rsidR="00C508F5" w:rsidRDefault="00000000">
      <w:pPr>
        <w:ind w:firstLine="480"/>
        <w:jc w:val="both"/>
      </w:pPr>
      <w:r>
        <w:t>ХРАНЕНИЕ. Хранить в защищенном от света месте при температуре не выше 25°С.</w:t>
      </w:r>
    </w:p>
    <w:p w14:paraId="31F34558" w14:textId="77777777" w:rsidR="00C508F5" w:rsidRDefault="00000000">
      <w:pPr>
        <w:ind w:firstLine="480"/>
        <w:jc w:val="both"/>
      </w:pPr>
      <w:r>
        <w:t>СРОК ГОДНОСТИ. 2 года.</w:t>
      </w:r>
    </w:p>
    <w:p w14:paraId="5CB811D1" w14:textId="77777777" w:rsidR="00C508F5" w:rsidRDefault="00000000">
      <w:pPr>
        <w:ind w:firstLine="480"/>
        <w:jc w:val="both"/>
      </w:pPr>
      <w:r>
        <w:t>ФАРМАКОЛОГИЧЕСКАЯ ГРУППА. Антисептическое.</w:t>
      </w:r>
    </w:p>
    <w:p w14:paraId="5D4AAA22" w14:textId="48013B7C" w:rsidR="00BA5854" w:rsidRDefault="00BA5854">
      <w:pPr>
        <w:ind w:firstLine="480"/>
        <w:jc w:val="both"/>
      </w:pPr>
      <w:r w:rsidRPr="00BA5854">
        <w:t>Примечание: реактивы, титрованные растворы и индикаторы, приведенные в настоящей фармакопейной статье описаны в соответствующих разделах Государственной фармакопеи ПМР ХIV издания</w:t>
      </w:r>
    </w:p>
    <w:p w14:paraId="171DB782" w14:textId="77777777" w:rsidR="00BA5854" w:rsidRDefault="00BA5854">
      <w:pPr>
        <w:ind w:firstLine="480"/>
        <w:jc w:val="both"/>
      </w:pPr>
    </w:p>
    <w:p w14:paraId="73668669" w14:textId="77777777" w:rsidR="002738A9" w:rsidRDefault="002738A9"/>
    <w:sectPr w:rsidR="002738A9" w:rsidSect="002738A9">
      <w:pgSz w:w="12240" w:h="15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730A1" w14:textId="77777777" w:rsidR="002738A9" w:rsidRDefault="002738A9">
      <w:r>
        <w:separator/>
      </w:r>
    </w:p>
  </w:endnote>
  <w:endnote w:type="continuationSeparator" w:id="0">
    <w:p w14:paraId="46688EEA" w14:textId="77777777" w:rsidR="002738A9" w:rsidRDefault="0027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1685A" w14:textId="77777777" w:rsidR="002738A9" w:rsidRDefault="002738A9">
      <w:r>
        <w:separator/>
      </w:r>
    </w:p>
  </w:footnote>
  <w:footnote w:type="continuationSeparator" w:id="0">
    <w:p w14:paraId="3A3509A4" w14:textId="77777777" w:rsidR="002738A9" w:rsidRDefault="0027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F5"/>
    <w:rsid w:val="002738A9"/>
    <w:rsid w:val="0028362F"/>
    <w:rsid w:val="004B5411"/>
    <w:rsid w:val="00BA5854"/>
    <w:rsid w:val="00C508F5"/>
    <w:rsid w:val="00DA0404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F6FB"/>
  <w15:docId w15:val="{24C217F4-82BB-45FA-96CC-F3EA625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2836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62F"/>
    <w:rPr>
      <w:sz w:val="24"/>
    </w:rPr>
  </w:style>
  <w:style w:type="paragraph" w:styleId="a7">
    <w:name w:val="footer"/>
    <w:basedOn w:val="a"/>
    <w:link w:val="a8"/>
    <w:uiPriority w:val="99"/>
    <w:unhideWhenUsed/>
    <w:rsid w:val="002836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6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D8Tx%2bcAxqomgE9X9AyjoCQ%3d%3d" TargetMode="Externa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hyperlink" Target="https://pravopmr.ru/View.aspx?id=pR%2bLinI1NOdlKtz89%2fYjS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Zt1m57%2f5T8P5k12oc62Kmg%3d%3d" TargetMode="External"/><Relationship Id="rId11" Type="http://schemas.openxmlformats.org/officeDocument/2006/relationships/hyperlink" Target="https://pravopmr.ru/View.aspx?id=lJKXMSYCzDSlgD25y5mC9A%3d%3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hyperlink" Target="https://pravopmr.ru/View.aspx?id=mdPRmxkItzrZOt1yB1S8v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Relationship Id="rId22" Type="http://schemas.openxmlformats.org/officeDocument/2006/relationships/hyperlink" Target="https://pravopmr.ru/View.aspx?id=I6vm53UFiaUTXaFAY6jC%2fQ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1784</Words>
  <Characters>10173</Characters>
  <Application>Microsoft Office Word</Application>
  <DocSecurity>0</DocSecurity>
  <Lines>84</Lines>
  <Paragraphs>23</Paragraphs>
  <ScaleCrop>false</ScaleCrop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8</cp:revision>
  <dcterms:created xsi:type="dcterms:W3CDTF">2024-04-29T12:43:00Z</dcterms:created>
  <dcterms:modified xsi:type="dcterms:W3CDTF">2024-04-29T13:13:00Z</dcterms:modified>
</cp:coreProperties>
</file>