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AE95" w14:textId="71FB118C" w:rsidR="00A53711" w:rsidRDefault="00CC4CBD">
      <w:pPr>
        <w:pStyle w:val="a4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редакция  на</w:t>
      </w:r>
      <w:proofErr w:type="gramEnd"/>
      <w:r>
        <w:rPr>
          <w:i/>
        </w:rPr>
        <w:t xml:space="preserve"> 9 ноября 2023 г.)</w:t>
      </w:r>
    </w:p>
    <w:p w14:paraId="5ECF7E6B" w14:textId="77777777" w:rsidR="00A53711" w:rsidRDefault="00CC4CBD">
      <w:pPr>
        <w:pStyle w:val="head"/>
      </w:pPr>
      <w:r>
        <w:rPr>
          <w:b/>
        </w:rPr>
        <w:t>МИНИСТЕРСТВО ЗДРАВООХРАНЕНИЯ ПРИДНЕСТРОВСКОЙ МОЛДАВСКОЙ РЕСПУБЛИКИ</w:t>
      </w:r>
    </w:p>
    <w:p w14:paraId="5931A51D" w14:textId="77777777" w:rsidR="00A53711" w:rsidRDefault="00CC4CBD">
      <w:pPr>
        <w:pStyle w:val="head"/>
      </w:pPr>
      <w:r>
        <w:rPr>
          <w:b/>
        </w:rPr>
        <w:t>ПРИКАЗ</w:t>
      </w:r>
    </w:p>
    <w:p w14:paraId="609825FF" w14:textId="77777777" w:rsidR="00A53711" w:rsidRDefault="00CC4CBD">
      <w:pPr>
        <w:pStyle w:val="head"/>
      </w:pPr>
      <w:r>
        <w:rPr>
          <w:b/>
        </w:rPr>
        <w:t>от 10 марта 2015 г.</w:t>
      </w:r>
      <w:r>
        <w:br/>
      </w:r>
      <w:r>
        <w:rPr>
          <w:b/>
        </w:rPr>
        <w:t>№ 169</w:t>
      </w:r>
    </w:p>
    <w:p w14:paraId="47F68705" w14:textId="77777777" w:rsidR="00A53711" w:rsidRDefault="00CC4CBD">
      <w:pPr>
        <w:pStyle w:val="head"/>
      </w:pPr>
      <w:r>
        <w:rPr>
          <w:b/>
        </w:rPr>
        <w:t>Об утверждении фармакопейной статьи ФС 2826-013-15 «Водорода пероксид 3%, раствор для местного и наружного применения»</w:t>
      </w:r>
    </w:p>
    <w:p w14:paraId="57A6AD6C" w14:textId="77777777" w:rsidR="00A53711" w:rsidRDefault="00CC4CBD">
      <w:pPr>
        <w:pStyle w:val="head"/>
      </w:pPr>
      <w:r>
        <w:t>САЗ (06.04.2015) № 15-14</w:t>
      </w:r>
    </w:p>
    <w:p w14:paraId="3057E393" w14:textId="77777777" w:rsidR="00A53711" w:rsidRDefault="00CC4CBD">
      <w:pPr>
        <w:pStyle w:val="a4"/>
        <w:jc w:val="center"/>
      </w:pPr>
      <w:r>
        <w:rPr>
          <w:i/>
        </w:rPr>
        <w:t>Согласовано:</w:t>
      </w:r>
      <w:r>
        <w:br/>
      </w:r>
      <w:r>
        <w:rPr>
          <w:rFonts w:ascii="Helveticaneuecyr Thin" w:hAnsi="Helveticaneuecyr Thin" w:cs="Helveticaneuecyr Thin"/>
          <w:i/>
        </w:rPr>
        <w:t>ГУ "Центр по контролю за обращением медико-фармацевтической продукции"</w:t>
      </w:r>
    </w:p>
    <w:p w14:paraId="36C241FD" w14:textId="77777777" w:rsidR="00A53711" w:rsidRDefault="00CC4CBD">
      <w:pPr>
        <w:ind w:firstLine="480"/>
        <w:jc w:val="both"/>
      </w:pPr>
      <w:r>
        <w:t xml:space="preserve">В соответствии с </w:t>
      </w:r>
      <w:hyperlink r:id="rId6" w:tooltip="(ВСТУПИЛ В СИЛУ 31.01.2005) О фармацевтической деятельности в Приднестровской Молдавской Республике" w:history="1">
        <w:r>
          <w:rPr>
            <w:rStyle w:val="a3"/>
          </w:rPr>
          <w:t>Законом Приднестровской Молдавской Республики от 25 января 2005 года № 526-З-III "О фармацевтической деятельности в Приднестровской Молдавской Республике"</w:t>
        </w:r>
      </w:hyperlink>
      <w:r>
        <w:t xml:space="preserve"> (САЗ 05-5) с изменениями и дополнениями, внесенными </w:t>
      </w:r>
      <w:hyperlink r:id="rId7" w:tooltip="(ВСТУПИЛ В СИЛУ 19.07.2005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законами Приднестровской Молдавской Республики от 19 июля 2005 года № 597-ЗИ-III</w:t>
        </w:r>
      </w:hyperlink>
      <w:r>
        <w:t xml:space="preserve"> (САЗ 05-30); </w:t>
      </w:r>
      <w:hyperlink r:id="rId8" w:tooltip="(ВСТУПИЛ В СИЛУ 03.04.2006) О внесении изменений и дополнений в некоторые Законы Приднестровской Молдавской Республики" w:history="1">
        <w:r>
          <w:rPr>
            <w:rStyle w:val="a3"/>
          </w:rPr>
          <w:t>от 3 апреля 2006 года № 18-ЗИД-IV</w:t>
        </w:r>
      </w:hyperlink>
      <w:r>
        <w:t xml:space="preserve"> (САЗ 06-15); </w:t>
      </w:r>
      <w:hyperlink r:id="rId9" w:tooltip="(ВСТУПИЛ В СИЛУ 30.06.2006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30 июня 2006 года № 53-ЗИД-IV</w:t>
        </w:r>
      </w:hyperlink>
      <w:r>
        <w:t xml:space="preserve"> (САЗ 06-27); </w:t>
      </w:r>
      <w:hyperlink r:id="rId10" w:tooltip="(ВСТУПИЛ В СИЛУ 29.06.2007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29 июня 2007 года № 242-ЗИД-IV</w:t>
        </w:r>
      </w:hyperlink>
      <w:r>
        <w:t xml:space="preserve"> (САЗ 07-27); </w:t>
      </w:r>
      <w:hyperlink r:id="rId11" w:tooltip="(ВСТУПИЛ В СИЛУ 17.08.2007) &quot;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17 августа 2007 года № 291-ЗИД-IV</w:t>
        </w:r>
      </w:hyperlink>
      <w:r>
        <w:t xml:space="preserve"> (САЗ 07-34); </w:t>
      </w:r>
      <w:hyperlink r:id="rId12" w:tooltip="(ВСТУПИЛ В СИЛУ 06.05.2008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459-ЗИ-IV</w:t>
        </w:r>
      </w:hyperlink>
      <w:r>
        <w:t xml:space="preserve"> (САЗ 08-18); </w:t>
      </w:r>
      <w:hyperlink r:id="rId13" w:tooltip="(ВСТУПИЛ В СИЛУ 06.05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461-ЗД-IV</w:t>
        </w:r>
      </w:hyperlink>
      <w:r>
        <w:t xml:space="preserve"> (САЗ 08-18); </w:t>
      </w:r>
      <w:hyperlink r:id="rId14" w:tooltip="(ВСТУПИЛ В СИЛУ 06.05.2008) О внесени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462-ЗД-IV</w:t>
        </w:r>
      </w:hyperlink>
      <w:r>
        <w:t xml:space="preserve"> (САЗ 08-18); </w:t>
      </w:r>
      <w:hyperlink r:id="rId15" w:tooltip="(ВСТУПИЛ В СИЛУ 04.08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августа 2008 года № 526-ЗД-IV</w:t>
        </w:r>
      </w:hyperlink>
      <w:r>
        <w:t xml:space="preserve"> (САЗ 08-31); </w:t>
      </w:r>
      <w:hyperlink r:id="rId16" w:tooltip="(ВСТУПИЛ В СИЛУ 04.12.2008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декабря 2008 года № 612-ЗИД-IV</w:t>
        </w:r>
      </w:hyperlink>
      <w:r>
        <w:t xml:space="preserve"> (САЗ 08-48); </w:t>
      </w:r>
      <w:hyperlink r:id="rId17" w:tooltip="(ВСТУПИЛ В СИЛУ 24.11.2011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24 ноября 2011 года № 214-ЗД-V</w:t>
        </w:r>
      </w:hyperlink>
      <w:r>
        <w:t xml:space="preserve"> (САЗ 11-47), </w:t>
      </w:r>
      <w:hyperlink r:id="rId18" w:tooltip="(ВСТУПИЛ В СИЛУ 09.08.2012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9 августа 2012 года № 164-ЗИД-V</w:t>
        </w:r>
      </w:hyperlink>
      <w:r>
        <w:t xml:space="preserve"> (САЗ 12-33); </w:t>
      </w:r>
      <w:hyperlink r:id="rId19" w:tooltip="(УТРАТИЛ СИЛУ 08.03.2016) Об утверждении Положения, структуры и предельной штатной численности Министерства здравоохранения Приднестровской Молдавской Республики" w:history="1">
        <w:r>
          <w:rPr>
            <w:rStyle w:val="a3"/>
          </w:rPr>
          <w:t>Постановлением Правительства Приднестровской Молдавской Республики от 13 августа 2013 года № 192 "Об утверждении Положения, структуры и предельной численности Министерства здравоохранения Приднестровской Молдавской Республики"</w:t>
        </w:r>
      </w:hyperlink>
      <w:r>
        <w:t xml:space="preserve"> (САЗ 13-36) с изменениями и дополнениями, внесенными </w:t>
      </w:r>
      <w:hyperlink r:id="rId20" w:tooltip="(УТРАТИЛ СИЛУ 08.03.2016) О внесении изменений и дополнений в Постановление Правительства Приднестровской Молдавской Республики от 13 августа 2013 года № 192 " w:history="1">
        <w:r>
          <w:rPr>
            <w:rStyle w:val="a3"/>
          </w:rPr>
          <w:t>постановлениями Правительства Приднестровской Молдавской Республики от 24 декабря 2013 года № 333</w:t>
        </w:r>
      </w:hyperlink>
      <w:r>
        <w:t xml:space="preserve"> (САЗ 13-51), </w:t>
      </w:r>
      <w:hyperlink r:id="rId21" w:tooltip="(УТРАТИЛ СИЛУ 08.03.2016) О внесении дополнения в Постановление Правительства Приднестровской Молдавской Республики от 13 августа 2013 года № 192 " w:history="1">
        <w:r>
          <w:rPr>
            <w:rStyle w:val="a3"/>
          </w:rPr>
          <w:t>от 7 февраля 2014 года № 39</w:t>
        </w:r>
      </w:hyperlink>
      <w:r>
        <w:t> (САЗ 14-6), приказываю:</w:t>
      </w:r>
    </w:p>
    <w:p w14:paraId="556A5A9B" w14:textId="77777777" w:rsidR="00A53711" w:rsidRDefault="00CC4CBD">
      <w:pPr>
        <w:ind w:firstLine="480"/>
        <w:jc w:val="both"/>
      </w:pPr>
      <w:r>
        <w:rPr>
          <w:b/>
        </w:rPr>
        <w:t>1.</w:t>
      </w:r>
      <w:r>
        <w:t xml:space="preserve"> Утвердить и ввести в действие фармакопейную статью ФС 2826-013-15 "Водорода пероксид 3%, раствор для местного и наружного применения" (прилагается).</w:t>
      </w:r>
    </w:p>
    <w:p w14:paraId="6C22C206" w14:textId="77777777" w:rsidR="00A53711" w:rsidRDefault="00CC4CBD">
      <w:pPr>
        <w:ind w:firstLine="480"/>
        <w:jc w:val="both"/>
      </w:pPr>
      <w:r>
        <w:rPr>
          <w:b/>
        </w:rPr>
        <w:t>2.</w:t>
      </w:r>
      <w:r>
        <w:t xml:space="preserve"> Ответственность за исполнение настоящего Приказа возложить на заместителя министра здравоохранения Приднестровской Молдавской Республики Гончар А.Г.</w:t>
      </w:r>
    </w:p>
    <w:p w14:paraId="0C7A5898" w14:textId="77777777" w:rsidR="00A53711" w:rsidRDefault="00CC4CBD">
      <w:pPr>
        <w:ind w:firstLine="480"/>
        <w:jc w:val="both"/>
      </w:pPr>
      <w:r>
        <w:rPr>
          <w:b/>
        </w:rPr>
        <w:t>3.</w:t>
      </w:r>
      <w:r>
        <w:t xml:space="preserve"> Контроль за исполнением настоящего Приказа оставляю за собой.</w:t>
      </w:r>
    </w:p>
    <w:p w14:paraId="4CA56ECC" w14:textId="77777777" w:rsidR="00A53711" w:rsidRDefault="00CC4CBD">
      <w:pPr>
        <w:ind w:firstLine="480"/>
        <w:jc w:val="both"/>
      </w:pPr>
      <w:r>
        <w:rPr>
          <w:b/>
        </w:rPr>
        <w:t>4.</w:t>
      </w:r>
      <w:r>
        <w:t xml:space="preserve"> Настоящий Приказ вступает в силу со дня, следующего за днем официального опубликования.</w:t>
      </w:r>
    </w:p>
    <w:p w14:paraId="01986F11" w14:textId="77777777" w:rsidR="00A53711" w:rsidRDefault="00CC4CBD">
      <w:pPr>
        <w:pStyle w:val="a4"/>
      </w:pPr>
      <w:r>
        <w:rPr>
          <w:b/>
        </w:rPr>
        <w:t xml:space="preserve">Министр Т. </w:t>
      </w:r>
      <w:proofErr w:type="spellStart"/>
      <w:r>
        <w:rPr>
          <w:b/>
        </w:rPr>
        <w:t>Скрыпник</w:t>
      </w:r>
      <w:proofErr w:type="spellEnd"/>
    </w:p>
    <w:p w14:paraId="4FE98251" w14:textId="77777777" w:rsidR="00A53711" w:rsidRDefault="00CC4CBD">
      <w:pPr>
        <w:pStyle w:val="a4"/>
      </w:pPr>
      <w:r>
        <w:t>г. Тирасполь</w:t>
      </w:r>
      <w:r>
        <w:br/>
        <w:t>10 марта 2015 г.</w:t>
      </w:r>
      <w:r>
        <w:br/>
        <w:t>№ 169</w:t>
      </w:r>
    </w:p>
    <w:p w14:paraId="4C393E89" w14:textId="77777777" w:rsidR="00B23C05" w:rsidRDefault="00B23C05" w:rsidP="00B23C05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к Приказу </w:t>
      </w:r>
    </w:p>
    <w:p w14:paraId="4B20DC4B" w14:textId="77777777" w:rsidR="00B23C05" w:rsidRDefault="00B23C05" w:rsidP="00B23C05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Министерства здравоохранения</w:t>
      </w:r>
    </w:p>
    <w:p w14:paraId="46B010DF" w14:textId="77777777" w:rsidR="00B23C05" w:rsidRDefault="00B23C05" w:rsidP="00B23C05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>Приднестровской Молдавской Республики</w:t>
      </w:r>
    </w:p>
    <w:p w14:paraId="6B841CDE" w14:textId="77777777" w:rsidR="00B23C05" w:rsidRDefault="00B23C05" w:rsidP="00B23C05">
      <w:pPr>
        <w:pStyle w:val="a4"/>
        <w:shd w:val="clear" w:color="auto" w:fill="FFFFFF"/>
        <w:spacing w:before="0" w:beforeAutospacing="0" w:after="0" w:afterAutospacing="0"/>
        <w:ind w:firstLine="6375"/>
        <w:jc w:val="right"/>
      </w:pPr>
      <w:r>
        <w:t>от 10 марта 2015 года № 169</w:t>
      </w:r>
    </w:p>
    <w:p w14:paraId="46545307" w14:textId="77777777" w:rsidR="00B23C05" w:rsidRDefault="00B23C05" w:rsidP="00B23C05">
      <w:pPr>
        <w:pStyle w:val="a4"/>
        <w:shd w:val="clear" w:color="auto" w:fill="FFFFFF"/>
        <w:spacing w:before="0" w:beforeAutospacing="0" w:after="0" w:afterAutospacing="0"/>
        <w:ind w:firstLine="360"/>
        <w:jc w:val="center"/>
      </w:pPr>
    </w:p>
    <w:p w14:paraId="2C02206A" w14:textId="77777777" w:rsidR="00B23C05" w:rsidRDefault="00B23C05" w:rsidP="00B23C05">
      <w:pPr>
        <w:pStyle w:val="a4"/>
        <w:shd w:val="clear" w:color="auto" w:fill="FFFFFF"/>
        <w:spacing w:before="0" w:beforeAutospacing="0" w:after="0" w:afterAutospacing="0"/>
        <w:ind w:firstLine="360"/>
        <w:jc w:val="center"/>
      </w:pPr>
      <w:r>
        <w:t>МИНИСТЕРСТВО ЗДРАВООХРАНЕНИЯ</w:t>
      </w:r>
    </w:p>
    <w:p w14:paraId="68A2596C" w14:textId="77777777" w:rsidR="00B23C05" w:rsidRDefault="00B23C05" w:rsidP="00B23C05">
      <w:pPr>
        <w:pStyle w:val="a4"/>
        <w:shd w:val="clear" w:color="auto" w:fill="FFFFFF"/>
        <w:spacing w:before="0" w:beforeAutospacing="0" w:after="0" w:afterAutospacing="0"/>
        <w:ind w:firstLine="360"/>
        <w:jc w:val="center"/>
      </w:pPr>
      <w:r>
        <w:t>ПРИДНЕСТРОВСКОЙ МОЛДАВСКОЙ РЕСПУБЛИКИ</w:t>
      </w:r>
    </w:p>
    <w:p w14:paraId="374D790C" w14:textId="77777777" w:rsidR="00B23C05" w:rsidRDefault="00B23C05" w:rsidP="00B23C05">
      <w:pPr>
        <w:pStyle w:val="a4"/>
        <w:shd w:val="clear" w:color="auto" w:fill="FFFFFF"/>
        <w:spacing w:before="0" w:beforeAutospacing="0" w:after="0" w:afterAutospacing="0"/>
        <w:ind w:firstLine="360"/>
        <w:jc w:val="right"/>
      </w:pPr>
    </w:p>
    <w:p w14:paraId="3229A205" w14:textId="77777777" w:rsidR="00B23C05" w:rsidRDefault="00B23C05" w:rsidP="00B23C05">
      <w:pPr>
        <w:pStyle w:val="a4"/>
        <w:shd w:val="clear" w:color="auto" w:fill="FFFFFF"/>
        <w:spacing w:before="0" w:beforeAutospacing="0" w:after="0" w:afterAutospacing="0"/>
        <w:ind w:firstLine="360"/>
        <w:jc w:val="right"/>
      </w:pPr>
      <w:r>
        <w:t>«Утверждаю»</w:t>
      </w:r>
    </w:p>
    <w:p w14:paraId="0239596F" w14:textId="77777777" w:rsidR="00B23C05" w:rsidRDefault="00B23C05" w:rsidP="00B23C05">
      <w:pPr>
        <w:pStyle w:val="a4"/>
        <w:shd w:val="clear" w:color="auto" w:fill="FFFFFF"/>
        <w:spacing w:before="0" w:beforeAutospacing="0" w:after="0" w:afterAutospacing="0"/>
        <w:ind w:firstLine="360"/>
        <w:jc w:val="right"/>
      </w:pPr>
      <w:r>
        <w:t>Министр здравоохранения</w:t>
      </w:r>
    </w:p>
    <w:p w14:paraId="6D28B2F7" w14:textId="77777777" w:rsidR="00B23C05" w:rsidRDefault="00B23C05" w:rsidP="00B23C05">
      <w:pPr>
        <w:pStyle w:val="a4"/>
        <w:shd w:val="clear" w:color="auto" w:fill="FFFFFF"/>
        <w:spacing w:before="0" w:beforeAutospacing="0" w:after="0" w:afterAutospacing="0"/>
        <w:ind w:firstLine="360"/>
        <w:jc w:val="right"/>
      </w:pPr>
      <w:r>
        <w:t>Приднестровской Молдавской Республики</w:t>
      </w:r>
    </w:p>
    <w:p w14:paraId="4D669E0D" w14:textId="77777777" w:rsidR="00B23C05" w:rsidRDefault="00B23C05" w:rsidP="00B23C05">
      <w:pPr>
        <w:pStyle w:val="a4"/>
        <w:shd w:val="clear" w:color="auto" w:fill="FFFFFF"/>
        <w:spacing w:before="0" w:beforeAutospacing="0" w:after="0" w:afterAutospacing="0"/>
        <w:ind w:firstLine="360"/>
        <w:jc w:val="right"/>
      </w:pPr>
      <w:r>
        <w:t>_____________________ 2023 г.</w:t>
      </w:r>
    </w:p>
    <w:p w14:paraId="74CA2DEA" w14:textId="77777777" w:rsidR="00B23C05" w:rsidRDefault="00B23C05" w:rsidP="00B23C05">
      <w:pPr>
        <w:pStyle w:val="1"/>
        <w:widowControl/>
        <w:rPr>
          <w:sz w:val="24"/>
          <w:szCs w:val="24"/>
        </w:rPr>
      </w:pPr>
    </w:p>
    <w:p w14:paraId="0B505802" w14:textId="77777777" w:rsidR="00B23C05" w:rsidRDefault="00B23C05" w:rsidP="00B23C05">
      <w:pPr>
        <w:pStyle w:val="1"/>
        <w:widowControl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Фармакопейная статья</w:t>
      </w:r>
    </w:p>
    <w:p w14:paraId="244CEAB8" w14:textId="77777777" w:rsidR="00B23C05" w:rsidRDefault="00B23C05" w:rsidP="00B23C05">
      <w:pPr>
        <w:jc w:val="both"/>
        <w:rPr>
          <w:szCs w:val="24"/>
        </w:rPr>
      </w:pPr>
    </w:p>
    <w:p w14:paraId="35D54BD8" w14:textId="77777777" w:rsidR="00B23C05" w:rsidRDefault="00B23C05" w:rsidP="00B23C05">
      <w:pPr>
        <w:jc w:val="both"/>
        <w:rPr>
          <w:szCs w:val="24"/>
          <w:shd w:val="clear" w:color="auto" w:fill="FFFFFF"/>
        </w:rPr>
      </w:pPr>
    </w:p>
    <w:p w14:paraId="52CB5D62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>ФС № ФС 2826-013-15</w:t>
      </w:r>
    </w:p>
    <w:p w14:paraId="5ECA501E" w14:textId="77777777" w:rsidR="00B23C05" w:rsidRDefault="00B23C05" w:rsidP="00B23C05">
      <w:pPr>
        <w:ind w:firstLine="284"/>
        <w:jc w:val="both"/>
        <w:rPr>
          <w:szCs w:val="24"/>
        </w:rPr>
      </w:pPr>
      <w:bookmarkStart w:id="0" w:name="_Hlk148535823"/>
      <w:r>
        <w:rPr>
          <w:szCs w:val="24"/>
        </w:rPr>
        <w:t>Водорода пероксид 3%, раствор для местного и наружного применения</w:t>
      </w:r>
    </w:p>
    <w:bookmarkEnd w:id="0"/>
    <w:p w14:paraId="12706EBC" w14:textId="77777777" w:rsidR="00B23C05" w:rsidRDefault="00B23C05" w:rsidP="00B23C05">
      <w:pPr>
        <w:ind w:firstLine="284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Hydrogenii</w:t>
      </w:r>
      <w:proofErr w:type="spellEnd"/>
      <w:r>
        <w:rPr>
          <w:szCs w:val="24"/>
          <w:lang w:val="en-US"/>
        </w:rPr>
        <w:t xml:space="preserve"> peroxide </w:t>
      </w:r>
      <w:proofErr w:type="spellStart"/>
      <w:r>
        <w:rPr>
          <w:szCs w:val="24"/>
          <w:lang w:val="en-US"/>
        </w:rPr>
        <w:t>solutio</w:t>
      </w:r>
      <w:proofErr w:type="spellEnd"/>
      <w:r>
        <w:rPr>
          <w:szCs w:val="24"/>
          <w:lang w:val="en-US"/>
        </w:rPr>
        <w:t xml:space="preserve"> ad </w:t>
      </w:r>
      <w:proofErr w:type="spellStart"/>
      <w:r>
        <w:rPr>
          <w:szCs w:val="24"/>
          <w:lang w:val="en-US"/>
        </w:rPr>
        <w:t>usum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localem</w:t>
      </w:r>
      <w:proofErr w:type="spellEnd"/>
      <w:r>
        <w:rPr>
          <w:szCs w:val="24"/>
          <w:lang w:val="en-US"/>
        </w:rPr>
        <w:t xml:space="preserve"> et </w:t>
      </w:r>
      <w:proofErr w:type="spellStart"/>
      <w:r>
        <w:rPr>
          <w:szCs w:val="24"/>
          <w:lang w:val="en-US"/>
        </w:rPr>
        <w:t>externum</w:t>
      </w:r>
      <w:proofErr w:type="spellEnd"/>
      <w:r>
        <w:rPr>
          <w:szCs w:val="24"/>
          <w:lang w:val="en-US"/>
        </w:rPr>
        <w:t xml:space="preserve"> </w:t>
      </w:r>
    </w:p>
    <w:p w14:paraId="7E54E1FC" w14:textId="77777777" w:rsidR="00B23C05" w:rsidRDefault="00B23C05" w:rsidP="00B23C05">
      <w:pPr>
        <w:jc w:val="both"/>
        <w:rPr>
          <w:szCs w:val="24"/>
          <w:lang w:val="en-US"/>
        </w:rPr>
      </w:pPr>
    </w:p>
    <w:p w14:paraId="196E6986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>Срок введения установлен</w:t>
      </w:r>
    </w:p>
    <w:p w14:paraId="3BD2FF97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>«____» ___________2023 год</w:t>
      </w:r>
    </w:p>
    <w:p w14:paraId="28A40964" w14:textId="77777777" w:rsidR="00B23C05" w:rsidRDefault="00B23C05" w:rsidP="00B23C05">
      <w:pPr>
        <w:jc w:val="both"/>
        <w:rPr>
          <w:szCs w:val="24"/>
          <w:shd w:val="clear" w:color="auto" w:fill="FFFFFF"/>
        </w:rPr>
      </w:pPr>
    </w:p>
    <w:p w14:paraId="38090A62" w14:textId="77777777" w:rsidR="00B23C05" w:rsidRDefault="00B23C05" w:rsidP="00B23C05">
      <w:pPr>
        <w:ind w:firstLine="284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Настоящая фармакопейная статья распространяется на Водорода пероксид 3 %, раствор для местного и наружного применения. </w:t>
      </w:r>
    </w:p>
    <w:p w14:paraId="4DE02F43" w14:textId="77777777" w:rsidR="00B23C05" w:rsidRDefault="00B23C05" w:rsidP="00B23C05">
      <w:pPr>
        <w:jc w:val="both"/>
        <w:rPr>
          <w:szCs w:val="24"/>
        </w:rPr>
      </w:pPr>
    </w:p>
    <w:p w14:paraId="2C81F921" w14:textId="77777777" w:rsidR="00B23C05" w:rsidRDefault="00B23C05" w:rsidP="00B23C05">
      <w:pPr>
        <w:ind w:firstLine="284"/>
        <w:jc w:val="both"/>
        <w:rPr>
          <w:bCs/>
          <w:szCs w:val="24"/>
        </w:rPr>
      </w:pPr>
      <w:r>
        <w:rPr>
          <w:bCs/>
          <w:szCs w:val="24"/>
        </w:rPr>
        <w:t xml:space="preserve">Состав: </w:t>
      </w:r>
    </w:p>
    <w:p w14:paraId="113F2E06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>Водорода пероксида                          от 75,0 г до 110,0 г.</w:t>
      </w:r>
    </w:p>
    <w:p w14:paraId="3FD55726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>(ГФ ПМР XIV изд., том III, ч.1: ФС.2.2.0005.15), в зависимости от фактического содержания   водорода перекиси в исходном препарате</w:t>
      </w:r>
    </w:p>
    <w:p w14:paraId="767D24C4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>Натрия бензоата                                            0,5 г</w:t>
      </w:r>
    </w:p>
    <w:p w14:paraId="39F87CD9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 xml:space="preserve">ГФ ПМР X, с. 424) </w:t>
      </w:r>
    </w:p>
    <w:p w14:paraId="0CDA5E3D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>Воды очищенной                                         до 1000 мл</w:t>
      </w:r>
    </w:p>
    <w:p w14:paraId="305DEFA0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 xml:space="preserve">(ФС 2826-009-14) </w:t>
      </w:r>
    </w:p>
    <w:p w14:paraId="1EBEA013" w14:textId="77777777" w:rsidR="00B23C05" w:rsidRDefault="00B23C05" w:rsidP="00B23C05">
      <w:pPr>
        <w:jc w:val="both"/>
        <w:rPr>
          <w:szCs w:val="24"/>
        </w:rPr>
      </w:pPr>
    </w:p>
    <w:p w14:paraId="120FAF4E" w14:textId="77777777" w:rsidR="00B23C05" w:rsidRDefault="00B23C05" w:rsidP="00B23C05">
      <w:pPr>
        <w:ind w:firstLine="284"/>
        <w:jc w:val="both"/>
        <w:rPr>
          <w:bCs/>
          <w:szCs w:val="24"/>
        </w:rPr>
      </w:pPr>
      <w:r>
        <w:rPr>
          <w:bCs/>
          <w:szCs w:val="24"/>
        </w:rPr>
        <w:t>Описание. Бесцветная прозрачная жидкость.</w:t>
      </w:r>
    </w:p>
    <w:p w14:paraId="7EC4F1DD" w14:textId="77777777" w:rsidR="00B23C05" w:rsidRDefault="00B23C05" w:rsidP="00B23C05">
      <w:pPr>
        <w:ind w:firstLine="284"/>
        <w:jc w:val="both"/>
        <w:rPr>
          <w:bCs/>
          <w:szCs w:val="24"/>
        </w:rPr>
      </w:pPr>
      <w:r>
        <w:rPr>
          <w:bCs/>
          <w:szCs w:val="24"/>
        </w:rPr>
        <w:t xml:space="preserve">Подлинность. </w:t>
      </w:r>
    </w:p>
    <w:p w14:paraId="647FA3C5" w14:textId="77777777" w:rsidR="00B23C05" w:rsidRDefault="00B23C05" w:rsidP="00B23C05">
      <w:pPr>
        <w:ind w:firstLine="284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1.Качественная реакция. </w:t>
      </w:r>
    </w:p>
    <w:p w14:paraId="0FBA9968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 xml:space="preserve">К 2 мл препарата прибавляют 0,2 мл серной кислоты разведенной </w:t>
      </w:r>
    </w:p>
    <w:p w14:paraId="049BE049" w14:textId="77777777" w:rsidR="00B23C05" w:rsidRDefault="00B23C05" w:rsidP="00B23C05">
      <w:pPr>
        <w:jc w:val="both"/>
        <w:rPr>
          <w:szCs w:val="24"/>
        </w:rPr>
      </w:pPr>
      <w:r>
        <w:rPr>
          <w:szCs w:val="24"/>
        </w:rPr>
        <w:t>16 % и 0,2 мл калия перманганата раствора 0,02 М; через 2 (две) минуты раствор должен постепенно обесцветиться или иметь слабо розовое окрашивание.</w:t>
      </w:r>
    </w:p>
    <w:p w14:paraId="6AF7F828" w14:textId="77777777" w:rsidR="00B23C05" w:rsidRDefault="00B23C05" w:rsidP="00B23C05">
      <w:pPr>
        <w:ind w:firstLine="284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2. Качественная реакция. </w:t>
      </w:r>
    </w:p>
    <w:p w14:paraId="45F7F3BE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 xml:space="preserve">К 0,5 мл препарата прибавляют 0,1 мл серной кислоты разведенной </w:t>
      </w:r>
    </w:p>
    <w:p w14:paraId="544E985D" w14:textId="77777777" w:rsidR="00B23C05" w:rsidRDefault="00B23C05" w:rsidP="00B23C05">
      <w:pPr>
        <w:jc w:val="both"/>
        <w:rPr>
          <w:szCs w:val="24"/>
        </w:rPr>
      </w:pPr>
      <w:r>
        <w:rPr>
          <w:szCs w:val="24"/>
        </w:rPr>
        <w:t xml:space="preserve">16%, 2 мл эфира, 0,1 мл калия дихромата раствора 5 % и взбалтывают; эфирный слой должен окраситься в синий цвет. </w:t>
      </w:r>
    </w:p>
    <w:p w14:paraId="6638078B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bCs/>
          <w:szCs w:val="24"/>
        </w:rPr>
        <w:t>рН</w:t>
      </w:r>
      <w:r>
        <w:rPr>
          <w:b/>
          <w:szCs w:val="24"/>
        </w:rPr>
        <w:t>.</w:t>
      </w:r>
      <w:r>
        <w:rPr>
          <w:szCs w:val="24"/>
        </w:rPr>
        <w:t xml:space="preserve"> От 3,8 до 5,6 (ОФС «</w:t>
      </w:r>
      <w:proofErr w:type="spellStart"/>
      <w:r>
        <w:rPr>
          <w:szCs w:val="24"/>
        </w:rPr>
        <w:t>Ионометрия</w:t>
      </w:r>
      <w:proofErr w:type="spellEnd"/>
      <w:r>
        <w:rPr>
          <w:szCs w:val="24"/>
        </w:rPr>
        <w:t>»).</w:t>
      </w:r>
    </w:p>
    <w:p w14:paraId="0E863E95" w14:textId="77777777" w:rsidR="00B23C05" w:rsidRDefault="00B23C05" w:rsidP="00B23C05">
      <w:pPr>
        <w:ind w:firstLine="284"/>
        <w:jc w:val="both"/>
        <w:rPr>
          <w:bCs/>
          <w:szCs w:val="24"/>
        </w:rPr>
      </w:pPr>
      <w:r>
        <w:rPr>
          <w:bCs/>
          <w:szCs w:val="24"/>
        </w:rPr>
        <w:t>Количественное определение.</w:t>
      </w:r>
    </w:p>
    <w:p w14:paraId="4F1BA0DC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 xml:space="preserve">Определение проводят методом </w:t>
      </w:r>
      <w:proofErr w:type="spellStart"/>
      <w:r>
        <w:rPr>
          <w:szCs w:val="24"/>
        </w:rPr>
        <w:t>титриметрии</w:t>
      </w:r>
      <w:proofErr w:type="spellEnd"/>
      <w:r>
        <w:rPr>
          <w:szCs w:val="24"/>
        </w:rPr>
        <w:t>.</w:t>
      </w:r>
    </w:p>
    <w:p w14:paraId="71F703BE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>1</w:t>
      </w:r>
      <w:r>
        <w:rPr>
          <w:b/>
          <w:i/>
          <w:szCs w:val="24"/>
        </w:rPr>
        <w:t>.</w:t>
      </w:r>
      <w:r>
        <w:rPr>
          <w:b/>
          <w:i/>
          <w:szCs w:val="24"/>
        </w:rPr>
        <w:tab/>
      </w:r>
      <w:r>
        <w:rPr>
          <w:bCs/>
          <w:iCs/>
          <w:szCs w:val="24"/>
        </w:rPr>
        <w:t>Водорода перекись.</w:t>
      </w:r>
    </w:p>
    <w:p w14:paraId="2C57787A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lastRenderedPageBreak/>
        <w:t xml:space="preserve">Около 10 г (точная навеска) препарата помещают в мерную колбу вместимостью 100 мл, доводят объём раствора водой до метки и перемешивают. К 10,0 мл полученного раствора прибавляют 20 </w:t>
      </w:r>
      <w:proofErr w:type="gramStart"/>
      <w:r>
        <w:rPr>
          <w:szCs w:val="24"/>
        </w:rPr>
        <w:t>мл серной кислоты</w:t>
      </w:r>
      <w:proofErr w:type="gramEnd"/>
      <w:r>
        <w:rPr>
          <w:szCs w:val="24"/>
        </w:rPr>
        <w:t xml:space="preserve"> разведенной 16% и титруют 0,02 М раствором калия перманганата до слабо розового окрашивания.</w:t>
      </w:r>
    </w:p>
    <w:p w14:paraId="32B59BE4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>Параллельно проводят контрольный опыт.</w:t>
      </w:r>
    </w:p>
    <w:p w14:paraId="7C2A3CD0" w14:textId="77777777" w:rsidR="00B23C05" w:rsidRDefault="00B23C05" w:rsidP="00B23C05">
      <w:pPr>
        <w:jc w:val="both"/>
        <w:rPr>
          <w:szCs w:val="24"/>
        </w:rPr>
      </w:pPr>
      <w:r>
        <w:rPr>
          <w:szCs w:val="24"/>
        </w:rPr>
        <w:t>1 мл 0,02 М раствора калия перманганата соответствует 0,001701 Н</w:t>
      </w:r>
      <w:r>
        <w:rPr>
          <w:szCs w:val="24"/>
          <w:vertAlign w:val="subscript"/>
        </w:rPr>
        <w:t>2</w:t>
      </w:r>
      <w:r>
        <w:rPr>
          <w:szCs w:val="24"/>
        </w:rPr>
        <w:t>О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(водорода пероксида). Содержание водорода пероксида в препарате должно быть не менее 2,5% и не более 3,5%.</w:t>
      </w:r>
    </w:p>
    <w:p w14:paraId="7B6BE03C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>2. Натрия бензоат.</w:t>
      </w:r>
    </w:p>
    <w:p w14:paraId="7486548E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>К 25 мл препарата прибавляют 40 мл эфира, 2 капли раствора метилового оранжевого, 1 каплю раствора метиленового синего и титруют 0,05 М раствором хлористоводородной кислоты до фиолетового окрашивания водного слоя. При титровании содержимое колбы хорошо встряхивают.</w:t>
      </w:r>
    </w:p>
    <w:p w14:paraId="6066C80A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>1 мл 0,05 М раствора хлористоводородной кислоты соответствует 0,007205 С</w:t>
      </w:r>
      <w:r>
        <w:rPr>
          <w:szCs w:val="24"/>
          <w:vertAlign w:val="subscript"/>
        </w:rPr>
        <w:t>7</w:t>
      </w:r>
      <w:r>
        <w:rPr>
          <w:szCs w:val="24"/>
        </w:rPr>
        <w:t>Н</w:t>
      </w:r>
      <w:r>
        <w:rPr>
          <w:szCs w:val="24"/>
          <w:vertAlign w:val="subscript"/>
        </w:rPr>
        <w:t>5</w:t>
      </w:r>
      <w:r>
        <w:rPr>
          <w:szCs w:val="24"/>
        </w:rPr>
        <w:t>NaO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-(натрия бензоата). Содержание натрия бензоата в препарате должно быть не менее 0,0425% и не более 0,0575%.</w:t>
      </w:r>
    </w:p>
    <w:p w14:paraId="62151C98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bCs/>
          <w:szCs w:val="24"/>
        </w:rPr>
        <w:t>Объем содержимого упаковки.</w:t>
      </w:r>
      <w:r>
        <w:rPr>
          <w:szCs w:val="24"/>
        </w:rPr>
        <w:t xml:space="preserve"> Препарат должен соответствовать требованиям Приказа Министерства здравоохранения и социальной защиты Приднестровской Молдавской Республики от 14 января 2009 года №14 «Об утверждении «Инструкции на допустимые отклонения при промышленном фасовании лекарственных средств» (САЗ 09-11).</w:t>
      </w:r>
    </w:p>
    <w:p w14:paraId="5EF6E1D0" w14:textId="77777777" w:rsidR="00B23C05" w:rsidRDefault="00B23C05" w:rsidP="00B23C05">
      <w:pPr>
        <w:ind w:firstLine="284"/>
        <w:jc w:val="both"/>
        <w:rPr>
          <w:bCs/>
          <w:szCs w:val="24"/>
        </w:rPr>
      </w:pPr>
      <w:r>
        <w:rPr>
          <w:bCs/>
          <w:szCs w:val="24"/>
        </w:rPr>
        <w:t>Упаковка.</w:t>
      </w:r>
    </w:p>
    <w:p w14:paraId="4041C64C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bCs/>
          <w:szCs w:val="24"/>
        </w:rPr>
        <w:t>Первичная упаковка:</w:t>
      </w:r>
    </w:p>
    <w:p w14:paraId="3661345E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>1. По 40 мл и 100 мл во флаконы оранжевого стекла или флаконах полимерные. Флаконы оранжевого стекла укупориваются полиэтиленовыми пробками или пробками-капельницами и навинчиваются пластмассовыми или полимерными крышками. Флаконы полимерные навинчиваются полимерными пробками с или без контроля вскрытия или насадкой и колпачком.</w:t>
      </w:r>
    </w:p>
    <w:p w14:paraId="4A22BD0F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>2. По 1000 мл в бутылки из полиэтилентерефталата (ПЭТФ) темного цвета, закрывающиеся пробками с контролем вскрытия.</w:t>
      </w:r>
    </w:p>
    <w:p w14:paraId="31BBCA28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>На каждый флакон наклеивается этикетка, изготовленная из бумаги этикеточной, или писчей, или самоклеящейся.</w:t>
      </w:r>
    </w:p>
    <w:p w14:paraId="0C4734FB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bCs/>
          <w:szCs w:val="24"/>
        </w:rPr>
        <w:t>Вторичная упаковка: по</w:t>
      </w:r>
      <w:r>
        <w:rPr>
          <w:szCs w:val="24"/>
        </w:rPr>
        <w:t xml:space="preserve"> одному флакону вместе с инструкцией по медицинскому применению помещают в пачку картонную. Допускается укладка флаконов в групповую упаковку без индивидуальной упаковки с равным количеством инструкций по медицинскому применению.</w:t>
      </w:r>
    </w:p>
    <w:p w14:paraId="22C8297F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bCs/>
          <w:szCs w:val="24"/>
        </w:rPr>
        <w:t>Групповая упаковка:</w:t>
      </w:r>
      <w:r>
        <w:rPr>
          <w:szCs w:val="24"/>
        </w:rPr>
        <w:t xml:space="preserve"> флаконы вместе с инструкциями по медицинскому применению помешают в картонные коробки.</w:t>
      </w:r>
    </w:p>
    <w:p w14:paraId="73ECBC55" w14:textId="77777777" w:rsidR="00B23C05" w:rsidRDefault="00B23C05" w:rsidP="00B23C05">
      <w:pPr>
        <w:jc w:val="both"/>
        <w:rPr>
          <w:szCs w:val="24"/>
        </w:rPr>
      </w:pPr>
      <w:r>
        <w:rPr>
          <w:szCs w:val="24"/>
        </w:rPr>
        <w:t xml:space="preserve">    Групповая упаковка для транспортировки согласно ГОСТ 17768-90.</w:t>
      </w:r>
    </w:p>
    <w:p w14:paraId="5C0208DB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bCs/>
          <w:szCs w:val="24"/>
        </w:rPr>
        <w:t>Маркировка.</w:t>
      </w:r>
      <w:r>
        <w:rPr>
          <w:szCs w:val="24"/>
        </w:rPr>
        <w:t xml:space="preserve"> Соответствует требованиям Приказа Министерства здравоохранения и социальной защиты Приднестровской Молдавской Республики от 30 сентября 2008 года №482 «Об утверждении «Инструкции по графическому оформлению лекарственных средств, производимых на территории Приднестровской Молдавской Республики»(регистрационный № 4614 от 10 ноября 2008 года) (САЗ 08-45), Приказа Министерства здравоохранения  Приднестровской Молдавской Республики от 22 июля 2020 года № 654 «Об утверждении Требований к маркировке и оформлению лекарственных средств для медицинского применения и изделий медицинского назначения, производимых на территории Приднестровской Молдавской Республики и ввозимых на территорию Приднестровской Молдавской Республики фармацевтическими организациями» (САЗ 20-34) и ГФ ПМР XIV изд. т. I ч.1: ОФС.1.1.0025.18. «Упаковка, маркировка и транспортирование лекарственных средств».</w:t>
      </w:r>
    </w:p>
    <w:p w14:paraId="551A9CB0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bCs/>
          <w:szCs w:val="24"/>
        </w:rPr>
        <w:lastRenderedPageBreak/>
        <w:t xml:space="preserve">На первичной (внутренней) </w:t>
      </w:r>
      <w:proofErr w:type="gramStart"/>
      <w:r>
        <w:rPr>
          <w:bCs/>
          <w:szCs w:val="24"/>
        </w:rPr>
        <w:t>упаковке</w:t>
      </w:r>
      <w:r>
        <w:rPr>
          <w:szCs w:val="24"/>
        </w:rPr>
        <w:t xml:space="preserve">  лекарственного</w:t>
      </w:r>
      <w:proofErr w:type="gramEnd"/>
      <w:r>
        <w:rPr>
          <w:szCs w:val="24"/>
        </w:rPr>
        <w:t xml:space="preserve"> препарата указывается следующая информация: торговое наименование лекарственного препарата; международное непатентованное наименование; концентрация активной фармацевтической субстанции; лекарственная форма; количество лекарственного препарата в </w:t>
      </w:r>
      <w:proofErr w:type="spellStart"/>
      <w:r>
        <w:rPr>
          <w:szCs w:val="24"/>
        </w:rPr>
        <w:t>упаковке;наименование</w:t>
      </w:r>
      <w:proofErr w:type="spellEnd"/>
      <w:r>
        <w:rPr>
          <w:szCs w:val="24"/>
        </w:rPr>
        <w:t xml:space="preserve"> и адрес производителя  лекарственного препарата, товарный знак; номер серии; дата истечения срока годности («годен до…»).</w:t>
      </w:r>
    </w:p>
    <w:p w14:paraId="78F9F1B0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bCs/>
          <w:szCs w:val="24"/>
        </w:rPr>
        <w:t>На вторичной упаковке,</w:t>
      </w:r>
      <w:r>
        <w:rPr>
          <w:szCs w:val="24"/>
        </w:rPr>
        <w:t xml:space="preserve"> а при ее отсутствии — на первичной упаковке лекарственного препарата указывается следующая информация: торговое наименование лекарственного препарата; международное непатентованное наименование; концентрация активной фармацевтической субстанции; лекарственная форма; количество лекарственного препарата в упаковке; информация о составе лекарственного препарата;</w:t>
      </w:r>
      <w:r>
        <w:rPr>
          <w:szCs w:val="24"/>
        </w:rPr>
        <w:tab/>
        <w:t>наименование и адрес производителя  лекарственного препарата, товарный знак; номер серии; регистрационный номер; дата производства; дата истечения срока годности («годен до…»); условия хранения; условия отпуска; предупредительные надписи «хранить в недоступном для детей месте»; регистрационный номер.</w:t>
      </w:r>
    </w:p>
    <w:p w14:paraId="27B9E067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bCs/>
          <w:szCs w:val="24"/>
        </w:rPr>
        <w:t>На групповой упаковке</w:t>
      </w:r>
      <w:r>
        <w:rPr>
          <w:b/>
          <w:szCs w:val="24"/>
        </w:rPr>
        <w:t xml:space="preserve"> -</w:t>
      </w:r>
      <w:r>
        <w:rPr>
          <w:szCs w:val="24"/>
        </w:rPr>
        <w:t xml:space="preserve"> торговое наименование лекарственного препарата; наименование и адрес </w:t>
      </w:r>
      <w:proofErr w:type="gramStart"/>
      <w:r>
        <w:rPr>
          <w:szCs w:val="24"/>
        </w:rPr>
        <w:t>производителя  лекарственного</w:t>
      </w:r>
      <w:proofErr w:type="gramEnd"/>
      <w:r>
        <w:rPr>
          <w:szCs w:val="24"/>
        </w:rPr>
        <w:t xml:space="preserve"> препарата; количество лекарственного препарата в упаковке и (или) количество упаковок в групповой упаковке; условия хранения и при необходимости условия транспортировки; номер серии; дата производства; дата истечения срока годности («годен до…»).</w:t>
      </w:r>
    </w:p>
    <w:p w14:paraId="20E2A5D0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bCs/>
          <w:szCs w:val="24"/>
        </w:rPr>
        <w:t>Хранение.</w:t>
      </w:r>
      <w:r>
        <w:rPr>
          <w:szCs w:val="24"/>
        </w:rPr>
        <w:t xml:space="preserve">  Хранить в защищенном от света месте, при температуре не выше 25°С. Хранить в недоступном для детей месте.</w:t>
      </w:r>
    </w:p>
    <w:p w14:paraId="31FFE099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bCs/>
          <w:szCs w:val="24"/>
        </w:rPr>
        <w:t>Срок годности.</w:t>
      </w:r>
      <w:r>
        <w:rPr>
          <w:szCs w:val="24"/>
        </w:rPr>
        <w:t>2 года.</w:t>
      </w:r>
    </w:p>
    <w:p w14:paraId="405824B9" w14:textId="77777777" w:rsidR="00B23C05" w:rsidRDefault="00B23C05" w:rsidP="00B23C05">
      <w:pPr>
        <w:ind w:firstLine="284"/>
        <w:jc w:val="both"/>
        <w:rPr>
          <w:szCs w:val="24"/>
        </w:rPr>
      </w:pPr>
      <w:r>
        <w:rPr>
          <w:szCs w:val="24"/>
        </w:rPr>
        <w:t>Примечание: реактивы, титрованные растворы и индикаторы, приведенные в настоящей фармакопейной статье, описаны в соответствующих разделах Государственной фармакопеи Приднестровской Молдавской Республики X и XIV издания.</w:t>
      </w:r>
    </w:p>
    <w:p w14:paraId="1085B091" w14:textId="77777777" w:rsidR="00A53711" w:rsidRDefault="00A53711" w:rsidP="00B23C05">
      <w:pPr>
        <w:pStyle w:val="a4"/>
        <w:jc w:val="right"/>
      </w:pPr>
    </w:p>
    <w:sectPr w:rsidR="00A5371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3EFFB" w14:textId="77777777" w:rsidR="00871229" w:rsidRDefault="00871229">
      <w:r>
        <w:separator/>
      </w:r>
    </w:p>
  </w:endnote>
  <w:endnote w:type="continuationSeparator" w:id="0">
    <w:p w14:paraId="132E1F9A" w14:textId="77777777" w:rsidR="00871229" w:rsidRDefault="0087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cyr Thin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57BC" w14:textId="77777777" w:rsidR="00B83227" w:rsidRDefault="00B832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3ECA6" w14:textId="0433097D" w:rsidR="00A53711" w:rsidRPr="00B83227" w:rsidRDefault="00A53711" w:rsidP="00B832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6102" w14:textId="77777777" w:rsidR="00B83227" w:rsidRDefault="00B832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22A4E" w14:textId="77777777" w:rsidR="00871229" w:rsidRDefault="00871229">
      <w:r>
        <w:separator/>
      </w:r>
    </w:p>
  </w:footnote>
  <w:footnote w:type="continuationSeparator" w:id="0">
    <w:p w14:paraId="13088F1C" w14:textId="77777777" w:rsidR="00871229" w:rsidRDefault="00871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D889E" w14:textId="77777777" w:rsidR="00B83227" w:rsidRDefault="00B832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FF9C" w14:textId="77777777" w:rsidR="00B83227" w:rsidRDefault="00B8322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CDE42" w14:textId="77777777" w:rsidR="00B83227" w:rsidRDefault="00B832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11"/>
    <w:rsid w:val="00871229"/>
    <w:rsid w:val="00A53711"/>
    <w:rsid w:val="00B23C05"/>
    <w:rsid w:val="00B83227"/>
    <w:rsid w:val="00CC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2653"/>
  <w15:docId w15:val="{58C1A2D2-AC0F-46B9-94E8-C0585738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B23C05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i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B23C05"/>
    <w:rPr>
      <w:b/>
      <w:i/>
      <w:sz w:val="52"/>
    </w:rPr>
  </w:style>
  <w:style w:type="paragraph" w:styleId="a5">
    <w:name w:val="header"/>
    <w:basedOn w:val="a"/>
    <w:link w:val="a6"/>
    <w:uiPriority w:val="99"/>
    <w:unhideWhenUsed/>
    <w:rsid w:val="00B832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3227"/>
    <w:rPr>
      <w:sz w:val="24"/>
    </w:rPr>
  </w:style>
  <w:style w:type="paragraph" w:styleId="a7">
    <w:name w:val="footer"/>
    <w:basedOn w:val="a"/>
    <w:link w:val="a8"/>
    <w:uiPriority w:val="99"/>
    <w:unhideWhenUsed/>
    <w:rsid w:val="00B832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32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VJM%2fQBYZwozFGMPfOWoIgg%3d%3d" TargetMode="External"/><Relationship Id="rId13" Type="http://schemas.openxmlformats.org/officeDocument/2006/relationships/hyperlink" Target="https://pravopmr.ru/View.aspx?id=xi2ns4dx1jPTWY9kEIMrVw%3d%3d" TargetMode="External"/><Relationship Id="rId18" Type="http://schemas.openxmlformats.org/officeDocument/2006/relationships/hyperlink" Target="https://pravopmr.ru/View.aspx?id=vRHViiCmY1crPQ5g8NY3ow%3d%3d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s://pravopmr.ru/View.aspx?id=6FMiTxWQS69LLvCqaO12dg%3d%3d" TargetMode="External"/><Relationship Id="rId7" Type="http://schemas.openxmlformats.org/officeDocument/2006/relationships/hyperlink" Target="https://pravopmr.ru/View.aspx?id=uiif07g8L1fIx800zY3jzQ%3d%3d" TargetMode="External"/><Relationship Id="rId12" Type="http://schemas.openxmlformats.org/officeDocument/2006/relationships/hyperlink" Target="https://pravopmr.ru/View.aspx?id=S8vAHIN86DLAIxruqOLpyw%3d%3d" TargetMode="External"/><Relationship Id="rId17" Type="http://schemas.openxmlformats.org/officeDocument/2006/relationships/hyperlink" Target="https://pravopmr.ru/View.aspx?id=Rm6UxgAv9laNICenh9ULWA%3d%3d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fK52lMUNFFEw1Yw%2f0zt6Uw%3d%3d" TargetMode="External"/><Relationship Id="rId20" Type="http://schemas.openxmlformats.org/officeDocument/2006/relationships/hyperlink" Target="https://pravopmr.ru/View.aspx?id=0IJ9bMJM5%2f%2fBJ1cq0fRUuA%3d%3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EDA24abnmCmHHM20ptrxwA%3d%3d" TargetMode="External"/><Relationship Id="rId11" Type="http://schemas.openxmlformats.org/officeDocument/2006/relationships/hyperlink" Target="https://pravopmr.ru/View.aspx?id=lJKXMSYCzDSlgD25y5mC9A%3d%3d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kHpGVxqPWQQHXd5LPTE9EQ%3d%3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pravopmr.ru/View.aspx?id=RHbeiuopYyTLYDW2ZGGkDg%3d%3d" TargetMode="External"/><Relationship Id="rId19" Type="http://schemas.openxmlformats.org/officeDocument/2006/relationships/hyperlink" Target="https://pravopmr.ru/View.aspx?id=o5hXj4geslYUezLhp9DRDQ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E%2ffqUJ62pxd7E%2blN3H7w0g%3d%3d" TargetMode="External"/><Relationship Id="rId14" Type="http://schemas.openxmlformats.org/officeDocument/2006/relationships/hyperlink" Target="https://pravopmr.ru/View.aspx?id=5dR9GzfKRQ3ya32e1fXQKg%3d%3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1910</Words>
  <Characters>10889</Characters>
  <Application>Microsoft Office Word</Application>
  <DocSecurity>0</DocSecurity>
  <Lines>90</Lines>
  <Paragraphs>25</Paragraphs>
  <ScaleCrop>false</ScaleCrop>
  <Company/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law</cp:lastModifiedBy>
  <cp:revision>4</cp:revision>
  <dcterms:created xsi:type="dcterms:W3CDTF">2024-04-11T10:17:00Z</dcterms:created>
  <dcterms:modified xsi:type="dcterms:W3CDTF">2024-05-03T12:50:00Z</dcterms:modified>
</cp:coreProperties>
</file>